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operates one building per grade level giving all students in the district access to the same resources. The budget is formulated based on enrollment and the  related staffing and curriculum needs of the specific grade span for that building. There is no specific formula for allocating the funds.Staffing, the largest portion of the budget is projected based on anticipated enrollment with the goal of maintaining reasonable class sizes. All other budget requests are reviewed on a building by building basis with the goal of insuring the students have the items and services necessary to maintain programs and to adhere to current curriculum standards and district go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