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Staffing is closely reviewed during the budget development process.  Staff are assigned based on the enrollment and student needs; salary and related benefit costs are a function of the relevant and necessary staff assigned.  Staffing is then closely monitored through-out the school year.
</w:t>
      </w:r>
    </w:p>
    <w:p>
      <w:pPr>
        <w:ind w:left="720"/>
      </w:pPr>
      <w:r>
        <w:rPr>
          <w:rFonts w:ascii="Garamond" w:hAnsi="Garamond"/>
        </w:rPr>
        <w:t>
</w:t>
      </w:r>
    </w:p>
    <w:p>
      <w:pPr>
        <w:ind w:left="720"/>
      </w:pPr>
      <w:r>
        <w:rPr>
          <w:rFonts w:ascii="Garamond" w:hAnsi="Garamond"/>
        </w:rPr>
        <w:t>
</w:t>
      </w:r>
    </w:p>
    <w:p>
      <w:pPr>
        <w:ind w:left="720"/>
      </w:pPr>
      <w:r>
        <w:rPr>
          <w:rFonts w:ascii="Garamond" w:hAnsi="Garamond"/>
        </w:rPr>
        <w:t>During the budget process funding for contractual services, textbooks, supplies and materials, online databases/subscriptions etc. is initially allocated to each school building on a per pupil basis using current enrollment.  After a series of budget development meetings, building allocations may be adjusted up/down if necessary for one time investments/supports based upon the budget discussions and particular needs of students.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with input from various department leaders i.e. Assistant Superintendent for Curriculum, Executive Director of Human Resources, using estimated expenses and prior year actuals.  Special Education expenses are budgeted by the PPS office using individual student projected expenses and current as well as anticipated IEP/CSE recommendations.  Co-curricular, Transportation, Facilities, Personnel, Board of Ed, C&amp;I, and Continuing Ed are all budgeted by the respective administrator in charge, based on a review of projected expenses, five year prior actual expenses, Building Condition Survey as well as demographic study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Searingtown Elementary School is the primary location for the districts self-contained special education classes for primary age students.  Center Street Elementary School also has a higher population of special education students and associated faculty and support services.  Thus, Searingtown and Center Street Elementary School funding per pupil are higher than Denton Avenue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