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does not use an allocation method to fund each school within the District.  During the budget development process, each school submits its requested staffing levels, as well as supplies and other instructional needs pursuant to existing programs within each building.  Each building stands as a separate budget entity in establishing the necessary funds for the subsequent school year.  The budget is then compiled and presented to the Board of Education for review during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