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From November through December of each budget development year, we request budget input from our Budget Supervisors which includes building-level administration and district-wide administration.  The staffing needs are identified by Central Office Administrators based on programmatic requirements, student instructional needs/desires, input from Coordinators and Directors, student enrollment, and any other State or Federal mandates.  We also look at trending in actual budget expenditures over a period of approximately five prior years to identify what a future budget need would reasonably be.  Throughout the budget development process, the Board of Education actively engages the community in a series of budget workshops to ensure public input is also garnered.  Both of the District’s high schools offer comparable programs with the same set of expectations of staff and students.  Both of the District’s middle schools offer comparable programs with the same set of expectations of staff and students.  All five of the District’s elementary schools offer comparable programs with the same set of expectations of staff and students.  If a particular building is hosting a specialized District-wide program for a certain sub-set of students (i.e. an intensive program class for special education students), the “host” building will be selected based on physical facility capacity for the class, student enrollment, and staffing requirements/services which may already exist at the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Please see comment above regarding specialized District-wide programs which may be housed at an individual building due to a variety of reasons.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