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From November through December of each budget development year, we request budget input from our Budget Supervisors which includes building-level administration and district-wide administration.  The staffing needs are identified by Central Office Administrators based on programmatic requirements, student instructional needs/desires, input from Coordinators and Directors, student enrollment, and any other State or Federal mandates.  We also look at trending in actual budget expenditures over a period of approximately five prior years to identify what a future budget need would reasonably be.  Throughout the budget development process, the Board of Education actively engages the community in a series of budget workshops to ensure public input is also garnered.  Both of the District’s high schools offer comparable programs with the same set of expectations of staff and students.  Both of the District’s middle schools offer comparable programs with the same set of expectations of staff and students.  All five of the District’s elementary schools offer comparable programs with the same set of expectations of staff and students.  If a particular building is hosting a specialized District-wide program for a certain sub-set of students (i.e. an intensive program class for special education students), the “host” building will be selected based on physical facility capacity for the class, student enrollment, and staffing requirements/services which may already exist at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Please see comment above regarding specialized District-wide programs which may be housed at an individual building due to a variety of reasons.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