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does not have formula that impacts each school's  allocation of funds.  The district's budget process includes administration from each school who meet and discuss each school's staffing and instructional needs based on student enrollment and the services required for students.  Staffing and benefits which is over 70% of budget is based on staffing needs and current contractual obligations. The administrator  team along with the superintendent and the business official work through budget sessions to create a  district wide budget which is presented to the Board of Education for their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Marcus Whitman High School pupil spending is higher than the other schools in the district. The main reason for this is that High School budget allocation includes cost associated with an area of the high school the district leases to our local BOCES. These cost are offset by the annual lease and maintenance payments received by the district from BOCES.  This document does not reflect the payments received from BOCES.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Nothing more at this time.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