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uses a resource neutral approach when determining funding allocations to each school in the district. There is no locally implemented formula, and the District operates with the assumption all current programming/initiatives will continue from year to year. The District relies on building administrators, to submit budgetary allocation requests for each respective building. These requests are for non-personnel related items; specifically, equipment, contractual items, and materials &amp; supplies. The BOCES budget is developed by the Assistant Superintendent for Business in conjunction with building administrators, and the Assistant Superintendent for Business also develops the allocations for personnel related costs (salaries and benefits), which are all dependent on local collective bargaining agreements, and building assignment. The District also has certain Title I eligible schools, which will drive funding as well; specifically, Big Cross, Jackson Heights, and the Middle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