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a resource neutral approach when determining funding allocations to each school in the district. There is no locally implemented formula, and the District operates with the assumption all current programming/initiatives will continue from year to year. The District relies on building administrators, to submit budgetary allocation requests for each respective building. These requests are for non-personnel related items; specifically, equipment, contractual items, and materials &amp; supplies. The BOCES budget is developed by the Assistant Superintendent for Business in conjunction with building administrators, and the Assistant Superintendent for Business also develops the allocations for personnel related costs (salaries and benefits), which are all dependent on local collective bargaining agreements, and building assignment. The District also has certain Title I eligible schools, which will drive funding as well; specifically, Big Cross, Jackson Heights, and the Middle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