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funding for contractual services, textbooks, supplies and materials are allocated to the schools on a per pupil basis using current enrollment.  Allocation for Art, Music, and Athletics are also allocated on a per pupil basis, using current enrollment.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five year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Nothing significant.  From year to year there may be a change of the number of self-contained or inclusion classrooms in one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