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Superintendent and the assistant superintendent for finance lead the budget development process. This process starts officially in mid November and lasts through April when the budget is adopted by the Board. At the beginning of the process all schools' teachers and their administration as well as district's department heads are required to plan and submit their assessment in terms of the need of students or other specific items as they foresee it. Afterwards, Superintendent ,curriculum/instruction and finance team meet with school principals to identify and prioritize initiatives for each school keeping in mind the available amount of resources from taxes, state aid etc. The same process is conducted with the department heads. The allocation of funding to schools is based on a combination of per pupil and specific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elementary schools with lowest per pupil spending serve grades 1-3. In addition, the elementary school with the highest per pupil spending serves grades 1-6 and includes a large contingent of high needs special education students.  The high per pupil spending in Chestnut Ridge MS reflects additional resources allocated by the District to help progress out of priority school status.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The District encompasses and serves in various academic and non academic areas over 27,000 private school students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