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Superintendent and the assistant superintendent for finance lead the budget development process. This process starts officially in mid November and lasts through April when the budget is adopted by the Board. At the beginning of the process all schools' teachers and their administration as well as district's department heads are required to plan and submit their assessment in terms of the need of students or other specific items as they foresee it. Afterwards, Superintendent ,curriculum/instruction and finance team meet with school principals to identify and prioritize initiatives for each school keeping in mind the available amount of resources from taxes, state aid etc. The same process is conducted with the department heads. The allocation of funding to schools is based on a combination of per pupil and specific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elementary schools with lowest per pupil spending serve grades 1-3. In addition, the elementary school with the highest per pupil spending serves grades 1-6 and includes a large contingent of high needs special education students.  The high per pupil spending in Chestnut Ridge MS reflects additional resources allocated by the District to help progress out of priority school status.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encompasses and serves in various academic and non academic areas over 27,000 private school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