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East Meadow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 and other ancillary services for each school. There are some minor formulaic budgetary appropriations for block teacher supply allocations, field trip appropriations and arts in education services through BOCES that are included in the budget process. Staffing for each school building is based on enrollment projects presented to the Board of Education in March of each year for the upcoming school year. Those enrollment projections have been used for this report and may be different than our BEDS day enrollments. Variations in payroll per pupil are largely driven by the combined experience/seniority of a particular school building's staff. Two of our elementary schools, Meadowbrook Elementary and McVey Elementary, are currently Title 1.  Our Response to Intervention Committee is reviewing resources and establishing criteria in accordance with needs as identified on the basis of equity.
</w:t>
      </w:r>
    </w:p>
    <w:p>
      <w:pPr>
        <w:ind w:left="720"/>
      </w:pPr>
      <w:r>
        <w:rPr>
          <w:rFonts w:ascii="Garamond" w:hAnsi="Garamond"/>
        </w:rPr>
        <w:t>
</w:t>
      </w:r>
    </w:p>
    <w:p>
      <w:pPr>
        <w:ind w:left="720"/>
      </w:pPr>
      <w:r>
        <w:rPr>
          <w:rFonts w:ascii="Garamond" w:hAnsi="Garamond"/>
        </w:rPr>
        <w:t>The annual administrative budget proposal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adopts their proposed budget in April for presentation to voters in May of each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