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Each building is provided an allocation for basic building operating expenses on a per pupil basis.  This allocation covers the expenses of building offices, instructional supplies, textbooks and field trips.  This allocation is a minor part of the reported per pupil expense – approximately 3% to 5%.  Staffing is allocated by building centrally based on class size and identified students needs.  Other building costs, such as facilities and technology, are budgeted centrally.  The budget process includes a mechanism to request funding for things that cannot be absorbed within the structured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Funding, including staff counts, is distributed mostly based on building size.  Per pupil funding variances are largely based on the impact staff experience on salaries.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