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District does not utilize a formal methodology to allocate funds. Much of the allocation process is dependent on available revenue, programming initiatives and educational goals, class size determinations and staffing, contractual obligations and infrastructure needs, which can vary between buildings. Supplies and equipment allocations will typically reflect historical spending levels, while surplus funds are maintained at the District level and committed as needed for unanticipated needs. Generally, curricular supplies and technology are distributed equally amongst elementary buildings on a per pupil basis once a District initiative is undertaken.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