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Our current methodology involved a change toward building allocations that are more comprehensive than we have had in the past.  Zero based budgeting has been the method used to keep our overall budget the same dollar amount for the last 3 years.  This process includes reviewing maximum class size which impacts the number of sections and therefore teachers in each of our buildings.  This was a focus during our budget discussions for 2019-20 as we just transitioned to our new grade configurations from (5) K-6 elementary schools to (3) grade centers: Barry Primary K-2, Smith Intermediate 3 &amp; 4, and Randall Middle School 5 &amp; 6.</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reconfiguration allowed for a more even and equitable distribution of resources. Our per-pupil spending has evened out across the district. There are no significant discrepancies in the per-pupil spending.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All changes are described in the narrative above.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