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utilizes a zero-based budgeting process that allocates funds where they are needed, based on budgetary requests submitted by building principals and department managers. Formulas are only used to allocate funds for aidable instructional materials (textbooks and library materials) and field trips. For these items, available funds are allocated amongst buildings based on projected enrollment as follows: For textbooks, each school is allocated the maximum aid amount of $58.25 per student; for library materials, each school is allocated $7.00 per student. Each school receives $8.00 per student for field trips.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Our district is divided into four schools based on grade level only, so all four schools serve the same population. Per pupil spending at the high school may be higher due to the availability of career and technical education, extra-curricular activities, and interscholastic athletics at this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Included in our special education enrollment are 66 high-needs students from 12 surrounding rural school districts. These school districts pay tuition to us to provide more cost-effective and conveniently located special education programs for these students. This may make our special education costs, SWD counts, and number of para-professional classroom staff seem inflated. We budgeted $1,837,442 in tuition revenue for these students in 2019-20. To learn more, please review the Comptroller's audit of our special education programs: https://www.osc.state.ny.us/localgov/audits/schools/2016/cobleskillrichmondville.pdf</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