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Funds are first allocated to areas legally obligated (debt service, contract transportation, charter school tuition, etc.)  Funds are then allocated to schools based on assessed student need.  Student need is assessed across two broad categories 1) general education students and 2) special education students.  Enrollment projections across each grade level are reviewed and classroom sizes are adjusted as necessary.  Specials and electives are offered as required first and then secondarily as student interest dictates.  The majority of the funds per building are the salary and benefit costs to fund the program needs as determined above.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