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first allocated to areas legally obligated (debt service, contract transportation, charter school tuition, etc.)  Funds are then allocated to schools based on assessed student need.  Student need is assessed across two broad categories 1) general education students and 2) special education students.  Enrollment projections across each grade level are reviewed and classroom sizes are adjusted as necessary.  Specials and electives are offered as required first and then secondarily as student interest dictates.  The majority of the funds per building are the salary and benefit costs to fund the program needs as determined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