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uses a "per pupil" allocation regarding the areas of materials, supplies, contractual, textbook, software and hardware.  Allocation of general teaching staff is done on a pupil count basis.  Class size parameters are used to determine sections needed.  Allocation of special education, teaching assistants, OT/PT, counselors, AIS, reading etc. - are all done by various needs assessment tools or IEP's.  These needs assessments are looked at district-wide and the appropriate staffing is allocated to each building.  Staffing at the middle and high schools levels is also impacted by courses offered, based on student interests and graduation criteria.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This is our second year submitting the NYS School Funding Transparency form.  The total school funding per pupil amounts are very similar to last year, as we should expect.  The secondary levels - MS and HS - are higher than the elementary buildings - as would be excepted given the additional staffing that comes with secondary requirements.  We do have one elementary - Hastings Mallory - that is higher than the other 3 elementary buildings.  This building houses 2 life skills special education classrooms that require more staffing than regular elementary classrooms.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Based on edits received last year - I will offer the same explanation here.  The district doesn't have any Pre-K Community Based Organizations.  We use codes A2110.4 &amp; F2110.4 for general contractual expenditures.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