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For the 2018-2019 school year the Burnt Hills-Ballston Lake Central School District allocated staffing across our district buildings based on student need with an effort to ensure consistency of staff resources among students of the same grade level.  With regard to the allocation of funding for student materials and supplies, decisions were made based on enrollment and needs.
</w:t>
      </w:r>
    </w:p>
    <w:p>
      <w:pPr>
        <w:ind w:left="720"/>
      </w:pPr>
      <w:r>
        <w:rPr>
          <w:rFonts w:ascii="Garamond" w:hAnsi="Garamond"/>
        </w:rPr>
        <w:t>
</w:t>
      </w:r>
    </w:p>
    <w:p>
      <w:pPr>
        <w:ind w:left="720"/>
      </w:pPr>
      <w:r>
        <w:rPr>
          <w:rFonts w:ascii="Garamond" w:hAnsi="Garamond"/>
        </w:rPr>
        <w:t>For the 2019-2020 budget process, the 2018-2019 per pupil budgeted allocations were reviewed to ascertain any significant funding disparities.  If a significant funding disparity was identified, staff resources were reallocated as necessary and appropriate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While Burnt Hills-Ballston Lake Central School District reviews staffing levels at each building to make sure there is an equitable distribution of resources, we do not review the salaries of individual teachers when doing so.  Discrepancies between the district's three elementary schools appear to be mostly due to the mix of salaries associated with each building.</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