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Custodial and clerical staffing and 1 building principal in each elementary and additional 2 Aps in the middle school and 2 in the high school are included in building level budgets.   
</w:t>
      </w:r>
    </w:p>
    <w:p>
      <w:pPr>
        <w:ind w:left="720"/>
      </w:pPr>
      <w:r>
        <w:rPr>
          <w:rFonts w:ascii="Garamond" w:hAnsi="Garamond"/>
        </w:rPr>
        <w:t>
</w:t>
      </w:r>
    </w:p>
    <w:p>
      <w:pPr>
        <w:ind w:left="720"/>
      </w:pPr>
      <w:r>
        <w:rPr>
          <w:rFonts w:ascii="Garamond" w:hAnsi="Garamond"/>
        </w:rPr>
        <w:t>The district calculates the migration factor between grades over the past 7 years and uses that factor to estimate a buildings enrollment.    Based upon the enrollment the building is staffed with the number of sections of education that is planned to be in the school and space is allocated to house the appropriate special classes.     After that is completed and the district has a satisfactory enrollment number it is multiplied by a per pupil cost that is historic and has only been raised for safe harmless expenditures minimums (so that a building does not have receive less than a prior year even if enrollment decreased in building) or a 2% inflation factor.  The allocation is given to each department and the line items that are used to divide upon are decided at a building level.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SInce we have 2 k-2 bldgs and 2 3-5 buildings the classes that require special education are grouped according to space limitations and where the majority of students have their home address.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