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Broadalbin-Perth is a relatively small, rural upstate school district.  Our methodology and rationale behind allocating supply and materials funding as well as contractual and other funding to buildings is based simply on a collective determination of need in each building.  This need is determined by teacher input and requests made to the appropriate building principal or director, and tentatively added to the budget planning process by the members of the district’s leadership team. The district leadership team is made up of 11 administrators, and includes the Superintendent of Schools, the Assistant Superintendent for Business and Operations, the Director of Curriculum and Grants, the Director of Special Programs, the Director of Operations and Safety, the Director of Information Technology, the Principals of the High School (grades 9-12), Middle, School (6-8), Intermediate School (3-5), and The Learning Community (PK-2), as well as the High School Assistant Principal.  This group meets regularly to discuss and determine the needs of our students moving forward, and funds are allocated appropriately based on the need in each building, but limited by the restrictions of the budget process. The district has never used any specific formulaic structure to determine allocated expenses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As noted in the response to question #1, the school buildings in the district are separated by grade levels, and students graduate through each building.  We currently have a grades PreK-2 primary school (The Learning Community), a grades 3-5 Intermediate School, and grades 6-8 Middle School, and a grades 9-12 High School. Because the student and staff population differs between buildings and the needs of students at each building can vary greatly, as evidenced by a significant per student difference between the Intermediate School and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in our submission requires additional description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