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schools in a number of ways.  Regular education allocations to each school is based on student population,  Class size ratios are mandated through the teachers' contract.  Special education allocations to each school is based on students with disabilities enrollment and IEP services.  ELL allocations are based on required services per SED.  Title I funding is allocated to each school based on per-pupil amount.  The special education department allocates 611 and 619 funding based on student with disabilities programming and services in each building.  Contract for Excellence funding to is used to lower student class size in K-2, AIS services in K-12, and provides 1 FTE collaborative coach at each building K-12 to improve instruction.  Community Schools funding is allocated to each elementary school to support a collaboration with Broome County DSS.  Other grant funding (e.g. School Improvement Grant) is specific to funding allocations provided by SED.  Each winter, central office administrators meet with various stakeholders to review data to develop a list of academic and program priorities, ranked highest to lowest.  Central office works with Board of Education to make decisions based on this information to draft a budget.  As allocations are finalized from NYS, the board reviews the budget before finalizing and going out to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At Horace Mann Elementary, there is a significant mobility of students, which makes it more difficult to collapse class sections.  This has recently resulted in lower teacher to student ratios, causing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Our district provides English Language Learners (ELL) services to all ELL students in the district at 3 elementary schools (Benjamin Franklin, Theodore Roosevelt and Woodrow Wilson) and one middle school (East Middle) which impacts staffing and related costs.  In addition, the district houses different types of self-contained special education classes (8:1:1, 12:1:1, 15:1) at some sites, while other sites house our district Pre-Kindergarten classes.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