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Bellmore-Merrick CHSD's budget process advances the interest of students and educational program needs. The District's projected enrollment drives the budget development process in determining the proper staffing levels in each building. Program initiatives for the upcoming year are determined based on the goals and objectives of the district. Once the educational program is agreed upon, expenditures levels are projected for all functional areas taking into account spending levels from the prior and current fiscal years. Estimates of cost increases are based on contractual obligations and enrollment also determines staffing of teaching, administrative and support staff, as well as the allocation of textbooks, library and supply monies.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Each building contains special education classes. Because it is economically prudent to concentrate special education programs together, the District's highly effective special education programs are concentrated in Calhoun High School. The Calhoun budget reflects the increased cost of teaching, paraprofessional and support staff.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