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Baldwin UFSD does not have a specific local formula for allocating funding to each school building.  The district is comprised of 8 buildings-five elementary schools, one Middle School, one High School and one administrative building.  In addition, the district budgets programmatic services for information technology, special programs, buildings and grounds, athletics, music and fine arts, and central/business office services.  Each building/program begins their budgets in the fall.  Budget requests are presented to district cabinet members comprised of the Superintendent and Assistant Superintendents.  Academic and programing needs are addressed. Any budget changes are discussed with building and department leaders. Once finalized and approved by the Board of Education, the budget is presented to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Meadow elementary school houses the majority of our special education population, specifically our highest needs population in special educatiion and therefore creates a higher per pupil spending amount.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