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Baldwin UFSD does not have a specific local formula for allocating funding to each school building.  The district is comprised of 8 buildings-five elementary schools, one Middle School, one High School and one administrative building.  In addition, the district budgets programmatic services for information technology, special programs, buildings and grounds, athletics, music and fine arts, and central/business office services.  Each building/program begins their budgets in the fall.  Budget requests are presented to district cabinet members comprised of the Superintendent and Assistant Superintendents.  Academic and programing needs are addressed. Any budget changes are discussed with building and department leaders. Once finalized and approved by the Board of Education, the budget is presented to voters.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Meadow elementary school houses the majority of our special education population, specifically our highest needs population in special educatiion and therefore creates a higher per pupil spending amount.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