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uSable Valley does not use any specific method to allocate funds for the 4 schools within the District.  The building administrators sit with the superintendent and business manager to access what resources will be needed for the upcoming year.  All aspects of each building are discussed including staffing needs and non-personnel needs.  Once this initial assessment is completed the results are disclosed and discussed with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It is difficult to compare our two elementary schools as we are a merged district.  Keeseville Elementary residents attend the Keeseville Elementary School and AuSable Forks residents attend the AuSable Forks Elementary School.  Depending on the year's enrollment this creates class size differences between the schools.  Based on the 2019-2020 data the AuSable Forks School has an average class size of 17.4 whereas the Keeseville Elementary has an average class size of 20.6.  This alone creates a $900 higher per student cost for the AuSable Forks over Keeseville.  In addition the AuSable Forks population has a much higher percentage of IEP students, which creates another larger per student cost in AuSable Forks over Keesevil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