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uSable Valley does not use any specific method to allocate funds for the 4 schools within the District.  The building administrators sit with the superintendent and business manager to access what resources will be needed for the upcoming year.  All aspects of each building are discussed including staffing needs and non-personnel needs.  Once this initial assessment is completed the results are disclosed and discussed with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t is difficult to compare our two elementary schools as we are a merged district.  Keeseville Elementary residents attend the Keeseville Elementary School and AuSable Forks residents attend the AuSable Forks Elementary School.  Depending on the year's enrollment this creates class size differences between the schools.  Based on the 2019-2020 data the AuSable Forks School has an average class size of 17.4 whereas the Keeseville Elementary has an average class size of 20.6.  This alone creates a $900 higher per student cost for the AuSable Forks over Keeseville.  In addition the AuSable Forks population has a much higher percentage of IEP students, which creates another larger per student cost in AuSable Forks over Keesevil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